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386AC9">
      <w:r>
        <w:rPr>
          <w:noProof/>
        </w:rPr>
        <w:drawing>
          <wp:anchor distT="0" distB="0" distL="114300" distR="114300" simplePos="0" relativeHeight="251673600" behindDoc="0" locked="0" layoutInCell="1" allowOverlap="1">
            <wp:simplePos x="0" y="0"/>
            <wp:positionH relativeFrom="margin">
              <wp:posOffset>-505460</wp:posOffset>
            </wp:positionH>
            <wp:positionV relativeFrom="margin">
              <wp:posOffset>-657225</wp:posOffset>
            </wp:positionV>
            <wp:extent cx="3971925" cy="1409700"/>
            <wp:effectExtent l="0" t="0" r="9525" b="0"/>
            <wp:wrapSquare wrapText="bothSides"/>
            <wp:docPr id="19" name="Picture 19" descr="C:\Users\holli.howard\AppData\Local\Microsoft\Windows\INetCache\Content.Word\internships for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i.howard\AppData\Local\Microsoft\Windows\INetCache\Content.Word\internships for H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643"/>
                    <a:stretch/>
                  </pic:blipFill>
                  <pic:spPr bwMode="auto">
                    <a:xfrm>
                      <a:off x="0" y="0"/>
                      <a:ext cx="39719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0"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19536A"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1666876</wp:posOffset>
                </wp:positionV>
                <wp:extent cx="6819900" cy="50863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508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00CB77F7">
                              <w:rPr>
                                <w:sz w:val="22"/>
                                <w:szCs w:val="22"/>
                              </w:rPr>
                              <w:t>second</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CB77F7">
                              <w:rPr>
                                <w:sz w:val="22"/>
                                <w:szCs w:val="22"/>
                              </w:rPr>
                              <w:t>January 19, 2022.</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Shane McClellon</w:t>
                                        </w:r>
                                      </w:p>
                                    </w:tc>
                                    <w:tc>
                                      <w:tcPr>
                                        <w:tcW w:w="2629"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Marissa Maynor</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Richard Steele</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Purdy</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Steinmetz</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Brad Burdette</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Pruett</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Kate Everett</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Chad Ledford</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Turner</w:t>
                                        </w:r>
                                      </w:p>
                                    </w:tc>
                                    <w:tc>
                                      <w:tcPr>
                                        <w:tcW w:w="2401"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Taylor Groves</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Ebony Tucker</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Austin Anderson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Shannon George</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Deana Harper</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Carin Booth</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Barrett</w:t>
                                        </w: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2325"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C132F5" w:rsidTr="00C132F5">
                              <w:trPr>
                                <w:trHeight w:val="152"/>
                              </w:trPr>
                              <w:tc>
                                <w:tcPr>
                                  <w:tcW w:w="2610"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Zachary Brackett</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7" type="#_x0000_t202" style="position:absolute;margin-left:47.25pt;margin-top:131.25pt;width:537pt;height:400.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dr+wIAAJ8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00CB77F7">
                        <w:rPr>
                          <w:sz w:val="22"/>
                          <w:szCs w:val="22"/>
                        </w:rPr>
                        <w:t>second</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CB77F7">
                        <w:rPr>
                          <w:sz w:val="22"/>
                          <w:szCs w:val="22"/>
                        </w:rPr>
                        <w:t>January 19, 2022.</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Shane McClellon</w:t>
                                  </w:r>
                                </w:p>
                              </w:tc>
                              <w:tc>
                                <w:tcPr>
                                  <w:tcW w:w="2629"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Marissa Maynor</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Richard Steele</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Purdy</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Steinmetz</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Brad Burdette</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3425CE" w:rsidTr="004A4D18">
                              <w:trPr>
                                <w:trHeight w:val="133"/>
                              </w:trPr>
                              <w:tc>
                                <w:tcPr>
                                  <w:tcW w:w="2514"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401"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Pruett</w:t>
                                  </w:r>
                                </w:p>
                              </w:tc>
                              <w:tc>
                                <w:tcPr>
                                  <w:tcW w:w="2128" w:type="dxa"/>
                                </w:tcPr>
                                <w:p w:rsidR="003425CE" w:rsidRPr="004A4D18"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Kate Everett</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Chad Ledford</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Turner</w:t>
                                  </w:r>
                                </w:p>
                              </w:tc>
                              <w:tc>
                                <w:tcPr>
                                  <w:tcW w:w="2401" w:type="dxa"/>
                                </w:tcPr>
                                <w:p w:rsidR="003425CE" w:rsidRPr="00F97BC4" w:rsidRDefault="00CB77F7" w:rsidP="005F460D">
                                  <w:pPr>
                                    <w:pStyle w:val="listtext"/>
                                    <w:numPr>
                                      <w:ilvl w:val="0"/>
                                      <w:numId w:val="0"/>
                                    </w:numPr>
                                    <w:spacing w:before="0" w:beforeAutospacing="0" w:after="0" w:afterAutospacing="0" w:line="240" w:lineRule="auto"/>
                                    <w:rPr>
                                      <w:sz w:val="22"/>
                                      <w:szCs w:val="22"/>
                                    </w:rPr>
                                  </w:pPr>
                                  <w:r>
                                    <w:rPr>
                                      <w:sz w:val="22"/>
                                      <w:szCs w:val="22"/>
                                    </w:rPr>
                                    <w:t>Taylor Groves</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Ebony Tucker</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Austin Anderson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Shannon George</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r>
                            <w:tr w:rsidR="003425CE" w:rsidTr="004A4D18">
                              <w:trPr>
                                <w:trHeight w:val="133"/>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Deana Harper</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Carin Booth</w:t>
                                  </w:r>
                                </w:p>
                              </w:tc>
                              <w:tc>
                                <w:tcPr>
                                  <w:tcW w:w="2629"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CB77F7"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CB77F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Barrett</w:t>
                                  </w: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2325"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C132F5" w:rsidTr="00C132F5">
                        <w:trPr>
                          <w:trHeight w:val="152"/>
                        </w:trPr>
                        <w:tc>
                          <w:tcPr>
                            <w:tcW w:w="2610"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Zachary Brackett</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721B79">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CB77F7">
                              <w:rPr>
                                <w:rFonts w:ascii="Arial" w:hAnsi="Arial"/>
                              </w:rPr>
                              <w:t>01-19-2022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CB77F7">
                        <w:rPr>
                          <w:rFonts w:ascii="Arial" w:hAnsi="Arial"/>
                        </w:rPr>
                        <w:t>01-19-2022</w:t>
                      </w:r>
                    </w:p>
                  </w:txbxContent>
                </v:textbox>
                <w10:wrap anchorx="page" anchory="page"/>
              </v:shape>
            </w:pict>
          </mc:Fallback>
        </mc:AlternateContent>
      </w:r>
      <w:r w:rsidR="00721B79">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sidR="00721B79">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lastRenderedPageBreak/>
        <w:t>Welcome, Introductions &amp; Approval of Minutes- Greg Vitek, Chair, Work Force Strategies Group</w:t>
      </w:r>
    </w:p>
    <w:p w:rsidR="00790EDC" w:rsidRPr="00790EDC" w:rsidRDefault="00790EDC"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w:t>
      </w:r>
      <w:r w:rsidR="00F52475">
        <w:rPr>
          <w:rFonts w:ascii="Tahoma" w:hAnsi="Tahoma" w:cs="Tahoma"/>
          <w:sz w:val="22"/>
          <w:szCs w:val="22"/>
        </w:rPr>
        <w:t xml:space="preserve">reg </w:t>
      </w:r>
      <w:r w:rsidR="00F219F1">
        <w:rPr>
          <w:rFonts w:ascii="Tahoma" w:hAnsi="Tahoma" w:cs="Tahoma"/>
          <w:sz w:val="22"/>
          <w:szCs w:val="22"/>
        </w:rPr>
        <w:t xml:space="preserve">welcomed members and thanked members for being in attendance. Introduced </w:t>
      </w:r>
      <w:r w:rsidR="0019536A">
        <w:rPr>
          <w:rFonts w:ascii="Tahoma" w:hAnsi="Tahoma" w:cs="Tahoma"/>
          <w:sz w:val="22"/>
          <w:szCs w:val="22"/>
        </w:rPr>
        <w:t>Holli Howard</w:t>
      </w:r>
      <w:r w:rsidR="00F219F1">
        <w:rPr>
          <w:rFonts w:ascii="Tahoma" w:hAnsi="Tahoma" w:cs="Tahoma"/>
          <w:sz w:val="22"/>
          <w:szCs w:val="22"/>
        </w:rPr>
        <w:t xml:space="preserve"> to present her student as a success story.  </w:t>
      </w:r>
    </w:p>
    <w:p w:rsidR="0019536A" w:rsidRPr="00F52475" w:rsidRDefault="0019536A" w:rsidP="0019536A">
      <w:pPr>
        <w:spacing w:after="160" w:line="259" w:lineRule="auto"/>
        <w:rPr>
          <w:rFonts w:ascii="Tahoma" w:hAnsi="Tahoma" w:cs="Tahoma"/>
          <w:b/>
          <w:sz w:val="22"/>
          <w:szCs w:val="22"/>
        </w:rPr>
      </w:pPr>
      <w:r w:rsidRPr="00F52475">
        <w:rPr>
          <w:rFonts w:ascii="Tahoma" w:hAnsi="Tahoma" w:cs="Tahoma"/>
          <w:b/>
          <w:sz w:val="22"/>
          <w:szCs w:val="22"/>
        </w:rPr>
        <w:t xml:space="preserve">WBL Student Spotlight- </w:t>
      </w:r>
      <w:r>
        <w:rPr>
          <w:rFonts w:ascii="Tahoma" w:hAnsi="Tahoma" w:cs="Tahoma"/>
          <w:b/>
          <w:sz w:val="22"/>
          <w:szCs w:val="22"/>
        </w:rPr>
        <w:t>Kate Everett</w:t>
      </w:r>
      <w:r w:rsidRPr="00F52475">
        <w:rPr>
          <w:rFonts w:ascii="Tahoma" w:hAnsi="Tahoma" w:cs="Tahoma"/>
          <w:b/>
          <w:sz w:val="22"/>
          <w:szCs w:val="22"/>
        </w:rPr>
        <w:t xml:space="preserve">, </w:t>
      </w:r>
      <w:r>
        <w:rPr>
          <w:rFonts w:ascii="Tahoma" w:hAnsi="Tahoma" w:cs="Tahoma"/>
          <w:b/>
          <w:sz w:val="22"/>
          <w:szCs w:val="22"/>
        </w:rPr>
        <w:t>Rahab’s Rope</w:t>
      </w:r>
      <w:r w:rsidRPr="00F52475">
        <w:rPr>
          <w:rFonts w:ascii="Tahoma" w:hAnsi="Tahoma" w:cs="Tahoma"/>
          <w:b/>
          <w:sz w:val="22"/>
          <w:szCs w:val="22"/>
        </w:rPr>
        <w:t xml:space="preserve">, </w:t>
      </w:r>
      <w:r>
        <w:rPr>
          <w:rFonts w:ascii="Tahoma" w:hAnsi="Tahoma" w:cs="Tahoma"/>
          <w:b/>
          <w:sz w:val="22"/>
          <w:szCs w:val="22"/>
        </w:rPr>
        <w:t xml:space="preserve">Chestatee </w:t>
      </w:r>
      <w:r>
        <w:rPr>
          <w:rFonts w:ascii="Tahoma" w:hAnsi="Tahoma" w:cs="Tahoma"/>
          <w:b/>
          <w:sz w:val="22"/>
          <w:szCs w:val="22"/>
        </w:rPr>
        <w:t>High</w:t>
      </w:r>
      <w:r w:rsidRPr="00F52475">
        <w:rPr>
          <w:rFonts w:ascii="Tahoma" w:hAnsi="Tahoma" w:cs="Tahoma"/>
          <w:b/>
          <w:sz w:val="22"/>
          <w:szCs w:val="22"/>
        </w:rPr>
        <w:t xml:space="preserve"> WBL Student</w:t>
      </w:r>
    </w:p>
    <w:p w:rsidR="0019536A" w:rsidRPr="00790EDC" w:rsidRDefault="0019536A" w:rsidP="0019536A">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WBL student highlight: </w:t>
      </w:r>
      <w:r>
        <w:rPr>
          <w:rFonts w:ascii="Tahoma" w:hAnsi="Tahoma" w:cs="Tahoma"/>
          <w:sz w:val="22"/>
          <w:szCs w:val="22"/>
        </w:rPr>
        <w:t xml:space="preserve">Honors WBL Student, Kate Everett, discussed her Graphic Design Career pathway and how she is using that now at her internship with non-profit organization, Rahab’s Rope. </w:t>
      </w:r>
      <w:r>
        <w:rPr>
          <w:rFonts w:ascii="Tahoma" w:hAnsi="Tahoma" w:cs="Tahoma"/>
          <w:sz w:val="22"/>
          <w:szCs w:val="22"/>
        </w:rPr>
        <w:t xml:space="preserve"> </w:t>
      </w:r>
    </w:p>
    <w:p w:rsidR="0019536A" w:rsidRPr="00790EDC" w:rsidRDefault="0019536A" w:rsidP="0019536A">
      <w:pPr>
        <w:pStyle w:val="ListParagraph"/>
        <w:rPr>
          <w:rFonts w:ascii="Tahoma" w:hAnsi="Tahoma" w:cs="Tahoma"/>
          <w:sz w:val="22"/>
          <w:szCs w:val="22"/>
        </w:rPr>
      </w:pP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 xml:space="preserve">Member Information </w:t>
      </w:r>
      <w:r w:rsidR="00F219F1">
        <w:rPr>
          <w:rFonts w:ascii="Tahoma" w:hAnsi="Tahoma" w:cs="Tahoma"/>
          <w:b/>
          <w:sz w:val="22"/>
          <w:szCs w:val="22"/>
        </w:rPr>
        <w:t>Electronic Form</w:t>
      </w:r>
      <w:r w:rsidRPr="00F52475">
        <w:rPr>
          <w:rFonts w:ascii="Tahoma" w:hAnsi="Tahoma" w:cs="Tahoma"/>
          <w:b/>
          <w:sz w:val="22"/>
          <w:szCs w:val="22"/>
        </w:rPr>
        <w:t xml:space="preserve">- </w:t>
      </w:r>
      <w:r w:rsidR="00F219F1">
        <w:rPr>
          <w:rFonts w:ascii="Tahoma" w:hAnsi="Tahoma" w:cs="Tahoma"/>
          <w:b/>
          <w:sz w:val="22"/>
          <w:szCs w:val="22"/>
        </w:rPr>
        <w:t>Carin Booth</w:t>
      </w:r>
      <w:r w:rsidRPr="00F52475">
        <w:rPr>
          <w:rFonts w:ascii="Tahoma" w:hAnsi="Tahoma" w:cs="Tahoma"/>
          <w:b/>
          <w:sz w:val="22"/>
          <w:szCs w:val="22"/>
        </w:rPr>
        <w:t>, Ch</w:t>
      </w:r>
      <w:r w:rsidR="00F219F1">
        <w:rPr>
          <w:rFonts w:ascii="Tahoma" w:hAnsi="Tahoma" w:cs="Tahoma"/>
          <w:b/>
          <w:sz w:val="22"/>
          <w:szCs w:val="22"/>
        </w:rPr>
        <w:t>erokee Bluff</w:t>
      </w:r>
      <w:r w:rsidRPr="00F52475">
        <w:rPr>
          <w:rFonts w:ascii="Tahoma" w:hAnsi="Tahoma" w:cs="Tahoma"/>
          <w:b/>
          <w:sz w:val="22"/>
          <w:szCs w:val="22"/>
        </w:rPr>
        <w:t xml:space="preserve"> WBL Coordinator</w:t>
      </w:r>
    </w:p>
    <w:p w:rsidR="00790EDC" w:rsidRDefault="00790EDC" w:rsidP="004A1FD4">
      <w:pPr>
        <w:pStyle w:val="ListParagraph"/>
        <w:numPr>
          <w:ilvl w:val="0"/>
          <w:numId w:val="17"/>
        </w:numPr>
        <w:spacing w:after="160" w:line="259" w:lineRule="auto"/>
        <w:rPr>
          <w:rFonts w:ascii="Tahoma" w:hAnsi="Tahoma" w:cs="Tahoma"/>
          <w:sz w:val="22"/>
          <w:szCs w:val="22"/>
        </w:rPr>
      </w:pPr>
      <w:r w:rsidRPr="00F52475">
        <w:rPr>
          <w:rFonts w:ascii="Tahoma" w:hAnsi="Tahoma" w:cs="Tahoma"/>
          <w:sz w:val="22"/>
          <w:szCs w:val="22"/>
        </w:rPr>
        <w:t xml:space="preserve">Attendees are asked to complete the information page </w:t>
      </w:r>
      <w:r w:rsidR="00F219F1">
        <w:rPr>
          <w:rFonts w:ascii="Tahoma" w:hAnsi="Tahoma" w:cs="Tahoma"/>
          <w:sz w:val="22"/>
          <w:szCs w:val="22"/>
        </w:rPr>
        <w:t xml:space="preserve">via Google Drive in order to create an electronic version so WBL and CTAE programs can utilize advisory members in their programs. </w:t>
      </w:r>
      <w:r w:rsidR="00FD6F55">
        <w:rPr>
          <w:rFonts w:ascii="Tahoma" w:hAnsi="Tahoma" w:cs="Tahoma"/>
          <w:sz w:val="22"/>
          <w:szCs w:val="22"/>
        </w:rPr>
        <w:t xml:space="preserve">Members were asked to </w:t>
      </w:r>
      <w:r w:rsidR="0019536A">
        <w:rPr>
          <w:rFonts w:ascii="Tahoma" w:hAnsi="Tahoma" w:cs="Tahoma"/>
          <w:sz w:val="22"/>
          <w:szCs w:val="22"/>
        </w:rPr>
        <w:t xml:space="preserve">complete a hard copy if they hadn’t already </w:t>
      </w:r>
      <w:r w:rsidR="00FD6F55">
        <w:rPr>
          <w:rFonts w:ascii="Tahoma" w:hAnsi="Tahoma" w:cs="Tahoma"/>
          <w:sz w:val="22"/>
          <w:szCs w:val="22"/>
        </w:rPr>
        <w:t xml:space="preserve"> </w:t>
      </w:r>
    </w:p>
    <w:p w:rsidR="0019536A" w:rsidRDefault="0019536A" w:rsidP="0019536A">
      <w:pPr>
        <w:spacing w:after="160" w:line="259" w:lineRule="auto"/>
        <w:rPr>
          <w:rFonts w:ascii="Tahoma" w:hAnsi="Tahoma" w:cs="Tahoma"/>
          <w:b/>
          <w:sz w:val="22"/>
          <w:szCs w:val="22"/>
        </w:rPr>
      </w:pPr>
      <w:r>
        <w:rPr>
          <w:rFonts w:ascii="Tahoma" w:hAnsi="Tahoma" w:cs="Tahoma"/>
          <w:b/>
          <w:sz w:val="22"/>
          <w:szCs w:val="22"/>
        </w:rPr>
        <w:t>Hall County Tech Fair</w:t>
      </w:r>
    </w:p>
    <w:p w:rsidR="0019536A" w:rsidRPr="0019536A" w:rsidRDefault="0019536A" w:rsidP="0019536A">
      <w:pPr>
        <w:pStyle w:val="ListParagraph"/>
        <w:numPr>
          <w:ilvl w:val="0"/>
          <w:numId w:val="17"/>
        </w:numPr>
        <w:spacing w:after="160" w:line="259" w:lineRule="auto"/>
        <w:rPr>
          <w:rFonts w:ascii="Tahoma" w:hAnsi="Tahoma" w:cs="Tahoma"/>
          <w:sz w:val="22"/>
          <w:szCs w:val="22"/>
        </w:rPr>
      </w:pPr>
      <w:r w:rsidRPr="0019536A">
        <w:rPr>
          <w:rFonts w:ascii="Tahoma" w:hAnsi="Tahoma" w:cs="Tahoma"/>
          <w:sz w:val="22"/>
          <w:szCs w:val="22"/>
        </w:rPr>
        <w:t xml:space="preserve">Cree Aiken discussed the upcoming Hall County Tech Fair dates/times and asked for judge volunteers. </w:t>
      </w:r>
    </w:p>
    <w:p w:rsidR="00C16560" w:rsidRPr="00C16560" w:rsidRDefault="00C16560" w:rsidP="00C16560">
      <w:pPr>
        <w:pStyle w:val="ListParagraph"/>
        <w:rPr>
          <w:rFonts w:ascii="Tahoma" w:hAnsi="Tahoma" w:cs="Tahoma"/>
          <w:sz w:val="22"/>
          <w:szCs w:val="22"/>
        </w:rPr>
      </w:pPr>
    </w:p>
    <w:p w:rsidR="0019536A" w:rsidRDefault="0019536A" w:rsidP="00C16560">
      <w:pPr>
        <w:spacing w:after="160" w:line="259" w:lineRule="auto"/>
        <w:rPr>
          <w:rFonts w:ascii="Tahoma" w:hAnsi="Tahoma" w:cs="Tahoma"/>
          <w:b/>
          <w:sz w:val="22"/>
          <w:szCs w:val="22"/>
        </w:rPr>
      </w:pPr>
      <w:r>
        <w:rPr>
          <w:rFonts w:ascii="Tahoma" w:hAnsi="Tahoma" w:cs="Tahoma"/>
          <w:b/>
          <w:sz w:val="22"/>
          <w:szCs w:val="22"/>
        </w:rPr>
        <w:t>Action Item Update-Career Pathway Posters</w:t>
      </w:r>
    </w:p>
    <w:p w:rsidR="0019536A" w:rsidRPr="0019536A" w:rsidRDefault="0019536A" w:rsidP="0019536A">
      <w:pPr>
        <w:pStyle w:val="ListParagraph"/>
        <w:numPr>
          <w:ilvl w:val="0"/>
          <w:numId w:val="17"/>
        </w:numPr>
        <w:spacing w:after="160" w:line="259" w:lineRule="auto"/>
        <w:rPr>
          <w:rFonts w:ascii="Tahoma" w:hAnsi="Tahoma" w:cs="Tahoma"/>
          <w:sz w:val="22"/>
          <w:szCs w:val="22"/>
        </w:rPr>
      </w:pPr>
      <w:r w:rsidRPr="0019536A">
        <w:rPr>
          <w:rFonts w:ascii="Tahoma" w:hAnsi="Tahoma" w:cs="Tahoma"/>
          <w:sz w:val="22"/>
          <w:szCs w:val="22"/>
        </w:rPr>
        <w:t xml:space="preserve">Holli Howard gave an update on the previous Action Item and thanked advisory for their input for the career pathway posters. Holli said the information was still being used to create posters and she will share when they are complete. </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CTAE District &amp; COVID-19 Updates</w:t>
      </w:r>
      <w:r>
        <w:rPr>
          <w:rFonts w:ascii="Tahoma" w:hAnsi="Tahoma" w:cs="Tahoma"/>
          <w:b/>
          <w:sz w:val="22"/>
          <w:szCs w:val="22"/>
        </w:rPr>
        <w:t>- Rhonda Samples, CTAE Executive Director</w:t>
      </w: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Rhonda Samples shared </w:t>
      </w:r>
      <w:r w:rsidR="00FD6F55">
        <w:rPr>
          <w:rFonts w:ascii="Tahoma" w:hAnsi="Tahoma" w:cs="Tahoma"/>
          <w:sz w:val="22"/>
          <w:szCs w:val="22"/>
        </w:rPr>
        <w:t>updates in the CTAE program:</w:t>
      </w:r>
    </w:p>
    <w:p w:rsidR="00790EDC" w:rsidRPr="00790EDC" w:rsidRDefault="00790EDC" w:rsidP="00790EDC">
      <w:pPr>
        <w:pStyle w:val="ListParagraph"/>
        <w:rPr>
          <w:rFonts w:ascii="Tahoma" w:hAnsi="Tahoma" w:cs="Tahoma"/>
          <w:sz w:val="22"/>
          <w:szCs w:val="22"/>
        </w:rPr>
      </w:pPr>
    </w:p>
    <w:p w:rsidR="00790EDC"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Adding seven new pathways for CTAE: listed on sheet in folder provided</w:t>
      </w:r>
    </w:p>
    <w:p w:rsidR="009776EB" w:rsidRDefault="009776EB" w:rsidP="009776EB">
      <w:pPr>
        <w:pStyle w:val="ListParagraph"/>
        <w:numPr>
          <w:ilvl w:val="2"/>
          <w:numId w:val="17"/>
        </w:numPr>
        <w:spacing w:after="160" w:line="259" w:lineRule="auto"/>
        <w:rPr>
          <w:rFonts w:ascii="Tahoma" w:hAnsi="Tahoma" w:cs="Tahoma"/>
          <w:sz w:val="22"/>
          <w:szCs w:val="22"/>
        </w:rPr>
      </w:pPr>
      <w:r>
        <w:rPr>
          <w:rFonts w:ascii="Tahoma" w:hAnsi="Tahoma" w:cs="Tahoma"/>
          <w:sz w:val="22"/>
          <w:szCs w:val="22"/>
        </w:rPr>
        <w:t>FY 20-40 Adding WBL</w:t>
      </w:r>
    </w:p>
    <w:p w:rsidR="009776EB" w:rsidRDefault="009776EB" w:rsidP="009776EB">
      <w:pPr>
        <w:pStyle w:val="ListParagraph"/>
        <w:numPr>
          <w:ilvl w:val="2"/>
          <w:numId w:val="17"/>
        </w:numPr>
        <w:spacing w:after="160" w:line="259" w:lineRule="auto"/>
        <w:rPr>
          <w:rFonts w:ascii="Tahoma" w:hAnsi="Tahoma" w:cs="Tahoma"/>
          <w:sz w:val="22"/>
          <w:szCs w:val="22"/>
        </w:rPr>
      </w:pPr>
      <w:r>
        <w:rPr>
          <w:rFonts w:ascii="Tahoma" w:hAnsi="Tahoma" w:cs="Tahoma"/>
          <w:sz w:val="22"/>
          <w:szCs w:val="22"/>
        </w:rPr>
        <w:t>FY 21-52 Resources</w:t>
      </w:r>
    </w:p>
    <w:p w:rsidR="009776EB" w:rsidRDefault="009776EB" w:rsidP="009776EB">
      <w:pPr>
        <w:pStyle w:val="ListParagraph"/>
        <w:numPr>
          <w:ilvl w:val="2"/>
          <w:numId w:val="17"/>
        </w:numPr>
        <w:spacing w:after="160" w:line="259" w:lineRule="auto"/>
        <w:rPr>
          <w:rFonts w:ascii="Tahoma" w:hAnsi="Tahoma" w:cs="Tahoma"/>
          <w:sz w:val="22"/>
          <w:szCs w:val="22"/>
        </w:rPr>
      </w:pPr>
      <w:r>
        <w:rPr>
          <w:rFonts w:ascii="Tahoma" w:hAnsi="Tahoma" w:cs="Tahoma"/>
          <w:sz w:val="22"/>
          <w:szCs w:val="22"/>
        </w:rPr>
        <w:t>FY 22-53 Personal Finance</w:t>
      </w:r>
    </w:p>
    <w:p w:rsidR="009776EB" w:rsidRDefault="009776EB" w:rsidP="009776EB">
      <w:pPr>
        <w:pStyle w:val="ListParagraph"/>
        <w:numPr>
          <w:ilvl w:val="2"/>
          <w:numId w:val="17"/>
        </w:numPr>
        <w:spacing w:after="160" w:line="259" w:lineRule="auto"/>
        <w:rPr>
          <w:rFonts w:ascii="Tahoma" w:hAnsi="Tahoma" w:cs="Tahoma"/>
          <w:sz w:val="22"/>
          <w:szCs w:val="22"/>
        </w:rPr>
      </w:pPr>
      <w:r>
        <w:rPr>
          <w:rFonts w:ascii="Tahoma" w:hAnsi="Tahoma" w:cs="Tahoma"/>
          <w:sz w:val="22"/>
          <w:szCs w:val="22"/>
        </w:rPr>
        <w:t>FY23-60 Personal Finance and Economics, gov and social studies</w:t>
      </w:r>
    </w:p>
    <w:p w:rsidR="009776EB" w:rsidRDefault="009776EB" w:rsidP="009776EB">
      <w:pPr>
        <w:pStyle w:val="ListParagraph"/>
        <w:numPr>
          <w:ilvl w:val="1"/>
          <w:numId w:val="17"/>
        </w:numPr>
        <w:spacing w:after="160" w:line="259" w:lineRule="auto"/>
        <w:rPr>
          <w:rFonts w:ascii="Tahoma" w:hAnsi="Tahoma" w:cs="Tahoma"/>
          <w:sz w:val="22"/>
          <w:szCs w:val="22"/>
        </w:rPr>
      </w:pPr>
      <w:r>
        <w:rPr>
          <w:rFonts w:ascii="Tahoma" w:hAnsi="Tahoma" w:cs="Tahoma"/>
          <w:sz w:val="22"/>
          <w:szCs w:val="22"/>
        </w:rPr>
        <w:t>Graduation Rate for CTA PW Completers 96.71% of GA, for Hall County 97.64%</w:t>
      </w:r>
    </w:p>
    <w:p w:rsidR="009776EB" w:rsidRDefault="009776EB" w:rsidP="009776EB">
      <w:pPr>
        <w:pStyle w:val="ListParagraph"/>
        <w:numPr>
          <w:ilvl w:val="1"/>
          <w:numId w:val="17"/>
        </w:numPr>
        <w:spacing w:after="160" w:line="259" w:lineRule="auto"/>
        <w:rPr>
          <w:rFonts w:ascii="Tahoma" w:hAnsi="Tahoma" w:cs="Tahoma"/>
          <w:sz w:val="22"/>
          <w:szCs w:val="22"/>
        </w:rPr>
      </w:pPr>
      <w:r>
        <w:rPr>
          <w:rFonts w:ascii="Tahoma" w:hAnsi="Tahoma" w:cs="Tahoma"/>
          <w:sz w:val="22"/>
          <w:szCs w:val="22"/>
        </w:rPr>
        <w:t>14 % higher than state rate</w:t>
      </w:r>
    </w:p>
    <w:p w:rsidR="009776EB" w:rsidRDefault="009776EB" w:rsidP="009776EB">
      <w:pPr>
        <w:pStyle w:val="ListParagraph"/>
        <w:numPr>
          <w:ilvl w:val="1"/>
          <w:numId w:val="17"/>
        </w:numPr>
        <w:spacing w:after="160" w:line="259" w:lineRule="auto"/>
        <w:rPr>
          <w:rFonts w:ascii="Tahoma" w:hAnsi="Tahoma" w:cs="Tahoma"/>
          <w:sz w:val="22"/>
          <w:szCs w:val="22"/>
        </w:rPr>
      </w:pPr>
      <w:r>
        <w:rPr>
          <w:rFonts w:ascii="Tahoma" w:hAnsi="Tahoma" w:cs="Tahoma"/>
          <w:sz w:val="22"/>
          <w:szCs w:val="22"/>
        </w:rPr>
        <w:t>DOE State Rule is 15 years of age to be in WBL which will match the DOL rule</w:t>
      </w:r>
    </w:p>
    <w:p w:rsidR="009776EB" w:rsidRDefault="009776EB" w:rsidP="009776EB">
      <w:pPr>
        <w:pStyle w:val="ListParagraph"/>
        <w:numPr>
          <w:ilvl w:val="1"/>
          <w:numId w:val="17"/>
        </w:numPr>
        <w:spacing w:after="160" w:line="259" w:lineRule="auto"/>
        <w:rPr>
          <w:rFonts w:ascii="Tahoma" w:hAnsi="Tahoma" w:cs="Tahoma"/>
          <w:sz w:val="22"/>
          <w:szCs w:val="22"/>
        </w:rPr>
      </w:pPr>
      <w:r>
        <w:rPr>
          <w:rFonts w:ascii="Tahoma" w:hAnsi="Tahoma" w:cs="Tahoma"/>
          <w:sz w:val="22"/>
          <w:szCs w:val="22"/>
        </w:rPr>
        <w:t>Economic Development Partnership Cert process-Hall County Hosting luncheon on 3/4/22 at LCCA. All Advisory will be invited and DOE will attend to verify all Hall Co does with community and partnerships to receive certification</w:t>
      </w:r>
    </w:p>
    <w:p w:rsidR="009776EB" w:rsidRPr="009776EB" w:rsidRDefault="009776EB" w:rsidP="009776EB">
      <w:pPr>
        <w:pStyle w:val="ListParagraph"/>
        <w:numPr>
          <w:ilvl w:val="1"/>
          <w:numId w:val="17"/>
        </w:numPr>
        <w:spacing w:after="160" w:line="259" w:lineRule="auto"/>
        <w:rPr>
          <w:rFonts w:ascii="Tahoma" w:hAnsi="Tahoma" w:cs="Tahoma"/>
          <w:sz w:val="22"/>
          <w:szCs w:val="22"/>
        </w:rPr>
      </w:pPr>
      <w:r>
        <w:rPr>
          <w:rFonts w:ascii="Tahoma" w:hAnsi="Tahoma" w:cs="Tahoma"/>
          <w:sz w:val="22"/>
          <w:szCs w:val="22"/>
        </w:rPr>
        <w:t>CTAE Month-February- all schools will particiapte</w:t>
      </w:r>
    </w:p>
    <w:p w:rsidR="00790EDC" w:rsidRPr="00790EDC" w:rsidRDefault="00790EDC" w:rsidP="00790EDC">
      <w:pPr>
        <w:pStyle w:val="ListParagraph"/>
        <w:ind w:left="1440"/>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Perki</w:t>
      </w:r>
      <w:r w:rsidR="00003585">
        <w:rPr>
          <w:rFonts w:ascii="Tahoma" w:hAnsi="Tahoma" w:cs="Tahoma"/>
          <w:b/>
          <w:sz w:val="22"/>
          <w:szCs w:val="22"/>
        </w:rPr>
        <w:t>n</w:t>
      </w:r>
      <w:r w:rsidRPr="00C16560">
        <w:rPr>
          <w:rFonts w:ascii="Tahoma" w:hAnsi="Tahoma" w:cs="Tahoma"/>
          <w:b/>
          <w:sz w:val="22"/>
          <w:szCs w:val="22"/>
        </w:rPr>
        <w:t>s Plan Follow-Up-Heather Barrett, CTAE Assistant Director</w:t>
      </w: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Heather </w:t>
      </w:r>
      <w:r w:rsidR="00C16560">
        <w:rPr>
          <w:rFonts w:ascii="Tahoma" w:hAnsi="Tahoma" w:cs="Tahoma"/>
          <w:sz w:val="22"/>
          <w:szCs w:val="22"/>
        </w:rPr>
        <w:t xml:space="preserve">Barrett </w:t>
      </w:r>
      <w:r w:rsidR="00867A11">
        <w:rPr>
          <w:rFonts w:ascii="Tahoma" w:hAnsi="Tahoma" w:cs="Tahoma"/>
          <w:sz w:val="22"/>
          <w:szCs w:val="22"/>
        </w:rPr>
        <w:t>updated</w:t>
      </w:r>
      <w:r w:rsidR="00C16560">
        <w:rPr>
          <w:rFonts w:ascii="Tahoma" w:hAnsi="Tahoma" w:cs="Tahoma"/>
          <w:sz w:val="22"/>
          <w:szCs w:val="22"/>
        </w:rPr>
        <w:t xml:space="preserve"> info on the CLNA</w:t>
      </w:r>
      <w:r w:rsidRPr="00790EDC">
        <w:rPr>
          <w:rFonts w:ascii="Tahoma" w:hAnsi="Tahoma" w:cs="Tahoma"/>
          <w:sz w:val="22"/>
          <w:szCs w:val="22"/>
        </w:rPr>
        <w:t>/Perkins</w:t>
      </w:r>
      <w:r w:rsidR="00C16560">
        <w:rPr>
          <w:rFonts w:ascii="Tahoma" w:hAnsi="Tahoma" w:cs="Tahoma"/>
          <w:sz w:val="22"/>
          <w:szCs w:val="22"/>
        </w:rPr>
        <w:t xml:space="preserve"> Plan</w:t>
      </w:r>
    </w:p>
    <w:p w:rsidR="00867A11"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Need suggestions on labor alignment</w:t>
      </w:r>
    </w:p>
    <w:p w:rsidR="009776EB"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List of 7 New CTAE Pathways</w:t>
      </w:r>
    </w:p>
    <w:p w:rsidR="009776EB"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Full list of 60 pathways includes 7 new ones</w:t>
      </w:r>
    </w:p>
    <w:p w:rsidR="009776EB"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Seeking feedback on labor alignment for Perkins Plan</w:t>
      </w:r>
    </w:p>
    <w:p w:rsidR="009776EB" w:rsidRDefault="009776EB"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Questionnaire –Fill out</w:t>
      </w:r>
    </w:p>
    <w:p w:rsidR="009776EB" w:rsidRPr="00790EDC" w:rsidRDefault="009776EB" w:rsidP="009776EB">
      <w:pPr>
        <w:pStyle w:val="ListParagraph"/>
        <w:numPr>
          <w:ilvl w:val="2"/>
          <w:numId w:val="17"/>
        </w:numPr>
        <w:spacing w:after="160" w:line="259" w:lineRule="auto"/>
        <w:rPr>
          <w:rFonts w:ascii="Tahoma" w:hAnsi="Tahoma" w:cs="Tahoma"/>
          <w:sz w:val="22"/>
          <w:szCs w:val="22"/>
        </w:rPr>
      </w:pPr>
      <w:r>
        <w:rPr>
          <w:rFonts w:ascii="Tahoma" w:hAnsi="Tahoma" w:cs="Tahoma"/>
          <w:sz w:val="22"/>
          <w:szCs w:val="22"/>
        </w:rPr>
        <w:t xml:space="preserve">Logistics? Not current pathway but they are working on educating students about what IS logistics. Not just freight aspect. </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 xml:space="preserve">Work Session- </w:t>
      </w:r>
      <w:r w:rsidR="00794E3C">
        <w:rPr>
          <w:rFonts w:ascii="Tahoma" w:hAnsi="Tahoma" w:cs="Tahoma"/>
          <w:b/>
          <w:sz w:val="22"/>
          <w:szCs w:val="22"/>
        </w:rPr>
        <w:t>Career Cluster Posters</w:t>
      </w:r>
      <w:r w:rsidRPr="00C16560">
        <w:rPr>
          <w:rFonts w:ascii="Tahoma" w:hAnsi="Tahoma" w:cs="Tahoma"/>
          <w:b/>
          <w:sz w:val="22"/>
          <w:szCs w:val="22"/>
        </w:rPr>
        <w:t xml:space="preserve">- </w:t>
      </w:r>
      <w:r w:rsidR="00794E3C">
        <w:rPr>
          <w:rFonts w:ascii="Tahoma" w:hAnsi="Tahoma" w:cs="Tahoma"/>
          <w:b/>
          <w:sz w:val="22"/>
          <w:szCs w:val="22"/>
        </w:rPr>
        <w:t>Greg Vitek</w:t>
      </w:r>
      <w:r w:rsidRPr="00C16560">
        <w:rPr>
          <w:rFonts w:ascii="Tahoma" w:hAnsi="Tahoma" w:cs="Tahoma"/>
          <w:b/>
          <w:sz w:val="22"/>
          <w:szCs w:val="22"/>
        </w:rPr>
        <w:t xml:space="preserve">, </w:t>
      </w:r>
      <w:r w:rsidR="00794E3C">
        <w:rPr>
          <w:rFonts w:ascii="Tahoma" w:hAnsi="Tahoma" w:cs="Tahoma"/>
          <w:b/>
          <w:sz w:val="22"/>
          <w:szCs w:val="22"/>
        </w:rPr>
        <w:t>Chair, Work Force Strategies Group</w:t>
      </w:r>
    </w:p>
    <w:p w:rsidR="00790EDC" w:rsidRPr="00003585" w:rsidRDefault="00790EDC" w:rsidP="00080736">
      <w:pPr>
        <w:pStyle w:val="ListParagraph"/>
        <w:numPr>
          <w:ilvl w:val="0"/>
          <w:numId w:val="17"/>
        </w:numPr>
        <w:ind w:left="360"/>
        <w:rPr>
          <w:rFonts w:ascii="Tahoma" w:hAnsi="Tahoma" w:cs="Tahoma"/>
          <w:sz w:val="22"/>
          <w:szCs w:val="22"/>
        </w:rPr>
      </w:pPr>
      <w:r w:rsidRPr="00003585">
        <w:rPr>
          <w:rFonts w:ascii="Tahoma" w:hAnsi="Tahoma" w:cs="Tahoma"/>
          <w:sz w:val="22"/>
          <w:szCs w:val="22"/>
        </w:rPr>
        <w:t>Work Session:</w:t>
      </w:r>
    </w:p>
    <w:p w:rsidR="00790EDC" w:rsidRDefault="009776EB" w:rsidP="00992012">
      <w:pPr>
        <w:pStyle w:val="ListParagraph"/>
        <w:numPr>
          <w:ilvl w:val="1"/>
          <w:numId w:val="17"/>
        </w:numPr>
        <w:ind w:left="1440"/>
        <w:rPr>
          <w:rFonts w:ascii="Tahoma" w:hAnsi="Tahoma" w:cs="Tahoma"/>
          <w:sz w:val="22"/>
          <w:szCs w:val="22"/>
        </w:rPr>
      </w:pPr>
      <w:r w:rsidRPr="00003585">
        <w:rPr>
          <w:rFonts w:ascii="Tahoma" w:hAnsi="Tahoma" w:cs="Tahoma"/>
          <w:sz w:val="22"/>
          <w:szCs w:val="22"/>
        </w:rPr>
        <w:t xml:space="preserve">Mentors are significant influences. What makes a mentor effective? Breakout sessions to discuss elements of eff. Mentoring best practices for mentoring. </w:t>
      </w:r>
    </w:p>
    <w:p w:rsidR="00003585" w:rsidRDefault="00003585" w:rsidP="00992012">
      <w:pPr>
        <w:pStyle w:val="ListParagraph"/>
        <w:numPr>
          <w:ilvl w:val="1"/>
          <w:numId w:val="17"/>
        </w:numPr>
        <w:ind w:left="1440"/>
        <w:rPr>
          <w:rFonts w:ascii="Tahoma" w:hAnsi="Tahoma" w:cs="Tahoma"/>
          <w:sz w:val="22"/>
          <w:szCs w:val="22"/>
        </w:rPr>
      </w:pPr>
      <w:r>
        <w:rPr>
          <w:rFonts w:ascii="Tahoma" w:hAnsi="Tahoma" w:cs="Tahoma"/>
          <w:sz w:val="22"/>
          <w:szCs w:val="22"/>
        </w:rPr>
        <w:t>Results</w:t>
      </w:r>
    </w:p>
    <w:tbl>
      <w:tblPr>
        <w:tblStyle w:val="TableGrid"/>
        <w:tblW w:w="0" w:type="auto"/>
        <w:tblInd w:w="2160" w:type="dxa"/>
        <w:tblLook w:val="04A0" w:firstRow="1" w:lastRow="0" w:firstColumn="1" w:lastColumn="0" w:noHBand="0" w:noVBand="1"/>
      </w:tblPr>
      <w:tblGrid>
        <w:gridCol w:w="3137"/>
        <w:gridCol w:w="3513"/>
      </w:tblGrid>
      <w:tr w:rsidR="00003585" w:rsidTr="00003585">
        <w:tc>
          <w:tcPr>
            <w:tcW w:w="4405" w:type="dxa"/>
            <w:shd w:val="clear" w:color="auto" w:fill="D9D9D9" w:themeFill="background1" w:themeFillShade="D9"/>
          </w:tcPr>
          <w:p w:rsidR="00003585" w:rsidRPr="00003585" w:rsidRDefault="00003585" w:rsidP="00003585">
            <w:pPr>
              <w:pStyle w:val="ListParagraph"/>
              <w:ind w:left="0"/>
              <w:jc w:val="center"/>
              <w:rPr>
                <w:rFonts w:ascii="Tahoma" w:hAnsi="Tahoma" w:cs="Tahoma"/>
                <w:b/>
                <w:sz w:val="22"/>
                <w:szCs w:val="22"/>
              </w:rPr>
            </w:pPr>
            <w:r w:rsidRPr="00003585">
              <w:rPr>
                <w:rFonts w:ascii="Tahoma" w:hAnsi="Tahoma" w:cs="Tahoma"/>
                <w:b/>
                <w:sz w:val="22"/>
                <w:szCs w:val="22"/>
              </w:rPr>
              <w:t>Qualities</w:t>
            </w:r>
          </w:p>
        </w:tc>
        <w:tc>
          <w:tcPr>
            <w:tcW w:w="4405" w:type="dxa"/>
            <w:shd w:val="clear" w:color="auto" w:fill="D9D9D9" w:themeFill="background1" w:themeFillShade="D9"/>
          </w:tcPr>
          <w:p w:rsidR="00003585" w:rsidRPr="00003585" w:rsidRDefault="00003585" w:rsidP="00003585">
            <w:pPr>
              <w:pStyle w:val="ListParagraph"/>
              <w:ind w:left="0"/>
              <w:jc w:val="center"/>
              <w:rPr>
                <w:rFonts w:ascii="Tahoma" w:hAnsi="Tahoma" w:cs="Tahoma"/>
                <w:b/>
                <w:sz w:val="22"/>
                <w:szCs w:val="22"/>
              </w:rPr>
            </w:pPr>
            <w:r w:rsidRPr="00003585">
              <w:rPr>
                <w:rFonts w:ascii="Tahoma" w:hAnsi="Tahoma" w:cs="Tahoma"/>
                <w:b/>
                <w:sz w:val="22"/>
                <w:szCs w:val="22"/>
              </w:rPr>
              <w:t>Best Practices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Experienced</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Plan/Road map for mentee</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Good listener</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Regular 1/1 coaching sessions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Communicator (mentee and WBL Coordinator)</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Evaluation process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Heart of a teacher</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Training them to work for you one day</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Flexible</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Career awareness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Know your audience</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Hold them accountable for goals/tasks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Compassionate</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Helps build confidence</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Constructive coaching</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 xml:space="preserve">Provide broad spectrum of opportunities </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Patience</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Weekly check-ins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 xml:space="preserve">Offers Accountability </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Attendance accountability</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 xml:space="preserve">Relatable </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Checking in on school grades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Collaborates to set goals</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Recognition/Networking to others</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Understanding of skill set</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Community Event Participation</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Availability (time/coaching)</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Team Engagement</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Buy-in from organization</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Provides Position Description/Org Chart</w:t>
            </w:r>
          </w:p>
        </w:tc>
      </w:tr>
      <w:tr w:rsidR="00003585" w:rsidTr="00003585">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 xml:space="preserve">Team Mentality </w:t>
            </w:r>
          </w:p>
        </w:tc>
        <w:tc>
          <w:tcPr>
            <w:tcW w:w="4405" w:type="dxa"/>
          </w:tcPr>
          <w:p w:rsidR="00003585" w:rsidRDefault="00003585" w:rsidP="00003585">
            <w:pPr>
              <w:pStyle w:val="ListParagraph"/>
              <w:ind w:left="0"/>
              <w:rPr>
                <w:rFonts w:ascii="Tahoma" w:hAnsi="Tahoma" w:cs="Tahoma"/>
                <w:sz w:val="22"/>
                <w:szCs w:val="22"/>
              </w:rPr>
            </w:pPr>
            <w:r>
              <w:rPr>
                <w:rFonts w:ascii="Tahoma" w:hAnsi="Tahoma" w:cs="Tahoma"/>
                <w:sz w:val="22"/>
                <w:szCs w:val="22"/>
              </w:rPr>
              <w:t>Allows mentee to present project</w:t>
            </w:r>
          </w:p>
        </w:tc>
      </w:tr>
    </w:tbl>
    <w:p w:rsidR="00003585" w:rsidRDefault="00003585" w:rsidP="00003585">
      <w:pPr>
        <w:pStyle w:val="ListParagraph"/>
        <w:numPr>
          <w:ilvl w:val="2"/>
          <w:numId w:val="17"/>
        </w:numPr>
        <w:rPr>
          <w:rFonts w:ascii="Tahoma" w:hAnsi="Tahoma" w:cs="Tahoma"/>
          <w:sz w:val="22"/>
          <w:szCs w:val="22"/>
        </w:rPr>
      </w:pPr>
      <w:r>
        <w:rPr>
          <w:rFonts w:ascii="Tahoma" w:hAnsi="Tahoma" w:cs="Tahoma"/>
          <w:sz w:val="22"/>
          <w:szCs w:val="22"/>
        </w:rPr>
        <w:t>Ideas: Mentor Class/becoming a mentor</w:t>
      </w:r>
    </w:p>
    <w:p w:rsidR="00003585" w:rsidRPr="00003585" w:rsidRDefault="00003585" w:rsidP="00003585">
      <w:pPr>
        <w:pStyle w:val="ListParagraph"/>
        <w:numPr>
          <w:ilvl w:val="2"/>
          <w:numId w:val="17"/>
        </w:numPr>
        <w:rPr>
          <w:rFonts w:ascii="Tahoma" w:hAnsi="Tahoma" w:cs="Tahoma"/>
          <w:sz w:val="22"/>
          <w:szCs w:val="22"/>
        </w:rPr>
      </w:pPr>
      <w:r>
        <w:rPr>
          <w:rFonts w:ascii="Tahoma" w:hAnsi="Tahoma" w:cs="Tahoma"/>
          <w:sz w:val="22"/>
          <w:szCs w:val="22"/>
        </w:rPr>
        <w:t xml:space="preserve">Leadership Hall Co. Class becoming mentor? </w:t>
      </w:r>
    </w:p>
    <w:p w:rsidR="00EF49E0" w:rsidRPr="00EF49E0" w:rsidRDefault="00EF49E0" w:rsidP="00EF49E0">
      <w:pPr>
        <w:spacing w:after="160" w:line="259" w:lineRule="auto"/>
        <w:rPr>
          <w:rFonts w:ascii="Tahoma" w:hAnsi="Tahoma" w:cs="Tahoma"/>
          <w:b/>
          <w:sz w:val="22"/>
          <w:szCs w:val="22"/>
        </w:rPr>
      </w:pPr>
      <w:r w:rsidRPr="00EF49E0">
        <w:rPr>
          <w:rFonts w:ascii="Tahoma" w:hAnsi="Tahoma" w:cs="Tahoma"/>
          <w:b/>
          <w:sz w:val="22"/>
          <w:szCs w:val="22"/>
        </w:rPr>
        <w:t>New Business</w:t>
      </w:r>
    </w:p>
    <w:p w:rsidR="00790EDC" w:rsidRPr="00B77DB2" w:rsidRDefault="00790EDC" w:rsidP="00B77DB2">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w:t>
      </w:r>
      <w:r w:rsidR="00EF49E0">
        <w:rPr>
          <w:rFonts w:ascii="Tahoma" w:hAnsi="Tahoma" w:cs="Tahoma"/>
          <w:sz w:val="22"/>
          <w:szCs w:val="22"/>
        </w:rPr>
        <w:t xml:space="preserve">reg </w:t>
      </w:r>
      <w:r w:rsidRPr="00790EDC">
        <w:rPr>
          <w:rFonts w:ascii="Tahoma" w:hAnsi="Tahoma" w:cs="Tahoma"/>
          <w:sz w:val="22"/>
          <w:szCs w:val="22"/>
        </w:rPr>
        <w:t>V</w:t>
      </w:r>
      <w:r w:rsidR="00EF49E0">
        <w:rPr>
          <w:rFonts w:ascii="Tahoma" w:hAnsi="Tahoma" w:cs="Tahoma"/>
          <w:sz w:val="22"/>
          <w:szCs w:val="22"/>
        </w:rPr>
        <w:t>itek</w:t>
      </w:r>
      <w:r w:rsidRPr="00790EDC">
        <w:rPr>
          <w:rFonts w:ascii="Tahoma" w:hAnsi="Tahoma" w:cs="Tahoma"/>
          <w:sz w:val="22"/>
          <w:szCs w:val="22"/>
        </w:rPr>
        <w:t>:  Next meeting is on 0</w:t>
      </w:r>
      <w:r w:rsidR="009776EB">
        <w:rPr>
          <w:rFonts w:ascii="Tahoma" w:hAnsi="Tahoma" w:cs="Tahoma"/>
          <w:sz w:val="22"/>
          <w:szCs w:val="22"/>
        </w:rPr>
        <w:t>3</w:t>
      </w:r>
      <w:r w:rsidRPr="00790EDC">
        <w:rPr>
          <w:rFonts w:ascii="Tahoma" w:hAnsi="Tahoma" w:cs="Tahoma"/>
          <w:sz w:val="22"/>
          <w:szCs w:val="22"/>
        </w:rPr>
        <w:t>/</w:t>
      </w:r>
      <w:r w:rsidR="009776EB">
        <w:rPr>
          <w:rFonts w:ascii="Tahoma" w:hAnsi="Tahoma" w:cs="Tahoma"/>
          <w:sz w:val="22"/>
          <w:szCs w:val="22"/>
        </w:rPr>
        <w:t>09</w:t>
      </w:r>
      <w:r w:rsidRPr="00790EDC">
        <w:rPr>
          <w:rFonts w:ascii="Tahoma" w:hAnsi="Tahoma" w:cs="Tahoma"/>
          <w:sz w:val="22"/>
          <w:szCs w:val="22"/>
        </w:rPr>
        <w:t>/202</w:t>
      </w:r>
      <w:r w:rsidR="00B77DB2">
        <w:rPr>
          <w:rFonts w:ascii="Tahoma" w:hAnsi="Tahoma" w:cs="Tahoma"/>
          <w:sz w:val="22"/>
          <w:szCs w:val="22"/>
        </w:rPr>
        <w:t>2</w:t>
      </w:r>
      <w:r w:rsidRPr="00790EDC">
        <w:rPr>
          <w:rFonts w:ascii="Tahoma" w:hAnsi="Tahoma" w:cs="Tahoma"/>
          <w:sz w:val="22"/>
          <w:szCs w:val="22"/>
        </w:rPr>
        <w:t xml:space="preserve">, no new or old business was mentioned, </w:t>
      </w:r>
      <w:r w:rsidR="009776EB">
        <w:rPr>
          <w:rFonts w:ascii="Tahoma" w:hAnsi="Tahoma" w:cs="Tahoma"/>
          <w:sz w:val="22"/>
          <w:szCs w:val="22"/>
        </w:rPr>
        <w:t>Kubota was credited for the lunch</w:t>
      </w: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adjourned at 12:</w:t>
      </w:r>
      <w:r w:rsidR="00B77DB2">
        <w:rPr>
          <w:rFonts w:ascii="Tahoma" w:hAnsi="Tahoma" w:cs="Tahoma"/>
          <w:sz w:val="22"/>
          <w:szCs w:val="22"/>
        </w:rPr>
        <w:t>34</w:t>
      </w:r>
      <w:bookmarkStart w:id="0" w:name="_GoBack"/>
      <w:bookmarkEnd w:id="0"/>
    </w:p>
    <w:sectPr w:rsidR="00790EDC" w:rsidSect="00B84595">
      <w:foot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DB" w:rsidRDefault="00FB24DB" w:rsidP="003A5550">
      <w:r>
        <w:separator/>
      </w:r>
    </w:p>
  </w:endnote>
  <w:endnote w:type="continuationSeparator" w:id="0">
    <w:p w:rsidR="00FB24DB" w:rsidRDefault="00FB24DB"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FB24DB">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FB24DB">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DB" w:rsidRDefault="00FB24DB" w:rsidP="003A5550">
      <w:r>
        <w:separator/>
      </w:r>
    </w:p>
  </w:footnote>
  <w:footnote w:type="continuationSeparator" w:id="0">
    <w:p w:rsidR="00FB24DB" w:rsidRDefault="00FB24DB"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bullet1"/>
      </v:shape>
    </w:pict>
  </w:numPicBullet>
  <w:numPicBullet w:numPicBulletId="1">
    <w:pict>
      <v:shape id="_x0000_i1060" type="#_x0000_t75" style="width:9pt;height:9pt" o:bullet="t">
        <v:imagedata r:id="rId2" o:title="bullet2"/>
      </v:shape>
    </w:pict>
  </w:numPicBullet>
  <w:numPicBullet w:numPicBulletId="2">
    <w:pict>
      <v:shape id="_x0000_i1061"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6D3A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4"/>
  </w:num>
  <w:num w:numId="3">
    <w:abstractNumId w:val="9"/>
  </w:num>
  <w:num w:numId="4">
    <w:abstractNumId w:val="12"/>
  </w:num>
  <w:num w:numId="5">
    <w:abstractNumId w:val="5"/>
  </w:num>
  <w:num w:numId="6">
    <w:abstractNumId w:val="10"/>
  </w:num>
  <w:num w:numId="7">
    <w:abstractNumId w:val="1"/>
  </w:num>
  <w:num w:numId="8">
    <w:abstractNumId w:val="12"/>
  </w:num>
  <w:num w:numId="9">
    <w:abstractNumId w:val="2"/>
  </w:num>
  <w:num w:numId="10">
    <w:abstractNumId w:val="11"/>
  </w:num>
  <w:num w:numId="11">
    <w:abstractNumId w:val="7"/>
  </w:num>
  <w:num w:numId="12">
    <w:abstractNumId w:val="6"/>
  </w:num>
  <w:num w:numId="13">
    <w:abstractNumId w:val="8"/>
  </w:num>
  <w:num w:numId="14">
    <w:abstractNumId w:val="0"/>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3585"/>
    <w:rsid w:val="000047BA"/>
    <w:rsid w:val="00041BCA"/>
    <w:rsid w:val="00047E8D"/>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536A"/>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9A7"/>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4353"/>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3E7E"/>
    <w:rsid w:val="0035701E"/>
    <w:rsid w:val="00386AC9"/>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94E3C"/>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67A11"/>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776EB"/>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A3F6D"/>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795"/>
    <w:rsid w:val="00B468F7"/>
    <w:rsid w:val="00B5364C"/>
    <w:rsid w:val="00B566A3"/>
    <w:rsid w:val="00B6135A"/>
    <w:rsid w:val="00B66115"/>
    <w:rsid w:val="00B673DE"/>
    <w:rsid w:val="00B710E0"/>
    <w:rsid w:val="00B76B98"/>
    <w:rsid w:val="00B77DB2"/>
    <w:rsid w:val="00B82C48"/>
    <w:rsid w:val="00B844B4"/>
    <w:rsid w:val="00B84595"/>
    <w:rsid w:val="00B84637"/>
    <w:rsid w:val="00BB2322"/>
    <w:rsid w:val="00BB2FB4"/>
    <w:rsid w:val="00BB7AFC"/>
    <w:rsid w:val="00BB7C6E"/>
    <w:rsid w:val="00BC6BB2"/>
    <w:rsid w:val="00BD4D0E"/>
    <w:rsid w:val="00BE4B7C"/>
    <w:rsid w:val="00BF04A4"/>
    <w:rsid w:val="00BF08C7"/>
    <w:rsid w:val="00BF264C"/>
    <w:rsid w:val="00BF38BF"/>
    <w:rsid w:val="00BF4567"/>
    <w:rsid w:val="00BF590F"/>
    <w:rsid w:val="00BF692F"/>
    <w:rsid w:val="00BF725B"/>
    <w:rsid w:val="00C04B9B"/>
    <w:rsid w:val="00C132F5"/>
    <w:rsid w:val="00C16560"/>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B77F7"/>
    <w:rsid w:val="00CC6B45"/>
    <w:rsid w:val="00CF3123"/>
    <w:rsid w:val="00D01B1D"/>
    <w:rsid w:val="00D16D81"/>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35338"/>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B634F"/>
    <w:rsid w:val="00EC256B"/>
    <w:rsid w:val="00EC60E3"/>
    <w:rsid w:val="00EC6CA8"/>
    <w:rsid w:val="00ED53C8"/>
    <w:rsid w:val="00ED643B"/>
    <w:rsid w:val="00EE1AE3"/>
    <w:rsid w:val="00EF0829"/>
    <w:rsid w:val="00EF3757"/>
    <w:rsid w:val="00EF49E0"/>
    <w:rsid w:val="00EF6CAF"/>
    <w:rsid w:val="00EF7D47"/>
    <w:rsid w:val="00F00087"/>
    <w:rsid w:val="00F07D90"/>
    <w:rsid w:val="00F13785"/>
    <w:rsid w:val="00F219F1"/>
    <w:rsid w:val="00F346A1"/>
    <w:rsid w:val="00F3575E"/>
    <w:rsid w:val="00F36FF9"/>
    <w:rsid w:val="00F4447A"/>
    <w:rsid w:val="00F52475"/>
    <w:rsid w:val="00F637C7"/>
    <w:rsid w:val="00F65D37"/>
    <w:rsid w:val="00F74B74"/>
    <w:rsid w:val="00F80631"/>
    <w:rsid w:val="00F8340F"/>
    <w:rsid w:val="00F87815"/>
    <w:rsid w:val="00F9276D"/>
    <w:rsid w:val="00F96144"/>
    <w:rsid w:val="00F97BC4"/>
    <w:rsid w:val="00FA5AAE"/>
    <w:rsid w:val="00FB24DB"/>
    <w:rsid w:val="00FC0DBC"/>
    <w:rsid w:val="00FC6532"/>
    <w:rsid w:val="00FC6998"/>
    <w:rsid w:val="00FC6F5D"/>
    <w:rsid w:val="00FD6F55"/>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7970"/>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3E59BB33-A4E3-4025-90D0-71B30432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60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4</cp:revision>
  <cp:lastPrinted>2019-01-23T21:17:00Z</cp:lastPrinted>
  <dcterms:created xsi:type="dcterms:W3CDTF">2022-03-01T13:41:00Z</dcterms:created>
  <dcterms:modified xsi:type="dcterms:W3CDTF">2022-03-01T14:41:00Z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